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60"/>
      </w:pPr>
      <w:r>
        <w:rPr>
          <w:rFonts w:ascii="Arial" w:cs="Arial" w:eastAsia="Arial" w:hAnsi="Arial"/>
          <w:b/>
          <w:bCs/>
          <w:color w:val="1C2440"/>
          <w:sz w:val="52"/>
          <w:szCs w:val="52"/>
        </w:rPr>
        <w:t xml:space="preserve">Balance des comptes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B4BC7"/>
          <w:sz w:val="24"/>
          <w:szCs w:val="24"/>
        </w:rPr>
        <w:t xml:space="preserve">Exercice 2022-2023</w:t>
      </w:r>
    </w:p>
    <w:p>
      <w:pPr>
        <w:spacing w:after="200"/>
      </w:pPr>
      <w:r>
        <w:rPr>
          <w:rFonts w:ascii="Arial" w:cs="Arial" w:eastAsia="Arial" w:hAnsi="Arial"/>
          <w:color w:val="5A6172"/>
          <w:sz w:val="19"/>
          <w:szCs w:val="19"/>
        </w:rPr>
        <w:t xml:space="preserve">Du 01/09/2022 au 31/08/2023 · édité le 3 septembre 2026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Tous les comptes mouvementés de l'exercice, leurs masses et leurs soldes. Une balance juste s'équilibre : total des débits = total des crédits.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253"/>
        <w:gridCol w:w="3758"/>
        <w:gridCol w:w="1542"/>
        <w:gridCol w:w="1542"/>
        <w:gridCol w:w="1542"/>
      </w:tblGrid>
      <w:tr>
        <w:trPr>
          <w:tblHeader/>
        </w:trPr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Compte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Solde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110000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Solde reporté de l'exercice précédent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1 780 €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-1 780 €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512000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Compte courant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8 963,70 €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7 083,70 €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1 880 €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530000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Caisse (espèces)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2 618,30 €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2 538,30 €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80 €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580000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Transfert entre comptes de l'asso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2 538,30 €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2 538,30 €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606000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Frais de fonctionnement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1 093,53 €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1 093,53 €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607000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Ventes (sapins, gâteaux…)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960 €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960 €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623000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Événements et fêtes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1 178,30 €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1 178,30 €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657000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Soutien aux projets de l'école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3 851,87 €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3 851,87 €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707000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Ventes (sapins, gâteaux…)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1 674,82 €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-1 674,82 €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708000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Événements et fêtes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4 585,30 €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-4 585,30 €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740000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Subventions et aides reçues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537,38 €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-537,38 €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754000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Dons et mécénat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301,20 €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-301,20 €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756000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Cotisations des familles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165 €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-165 €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Totaux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21 204 €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21 204 €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6B4A"/>
                <w:sz w:val="19"/>
                <w:szCs w:val="19"/>
              </w:rPr>
              <w:t xml:space="preserve">équilibrée</w:t>
            </w:r>
          </w:p>
        </w:tc>
      </w:tr>
    </w:tbl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Générée depuis les écritures en partie double de l'application — les mêmes qui alimentent le fichier FEC.</w:t>
      </w:r>
    </w:p>
    <w:sectPr>
      <w:headerReference w:type="default" r:id="rId7"/>
      <w:footerReference w:type="default" r:id="rId8"/>
      <w:pgSz w:w="11906" w:h="16838" w:orient="portrait"/>
      <w:pgMar w:top="1700" w:right="1133" w:bottom="124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1D8" w:sz="4"/>
      </w:pBdr>
      <w:spacing w:before="60"/>
    </w:pPr>
  </w:p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228"/>
      <w:gridCol w:w="2409"/>
    </w:tblGrid>
    <w:tr>
      <w:tc>
        <w:tcPr>
          <w:tcW w:type="pct" w:w="75%"/>
        </w:tcPr>
        <w:p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Balance 2022-2023 — APEL test</w:t>
          </w:r>
        </w:p>
      </w:tc>
      <w:tc>
        <w:tcPr>
          <w:tcW w:type="pct" w:w="25%"/>
        </w:tcPr>
        <w:p>
          <w:pPr>
            <w:jc w:val="right"/>
          </w:pP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Page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 sur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867"/>
      <w:gridCol w:w="6360"/>
      <w:gridCol w:w="2409"/>
    </w:tblGrid>
    <w:tr>
      <w:tc>
        <w:tcPr>
          <w:tcW w:type="pct" w:w="9%"/>
          <w:shd w:fill="2B4BC7" w:color="auto" w:val="clear"/>
          <w:tcMar>
            <w:top w:type="dxa" w:w="120"/>
            <w:left w:type="dxa" w:w="60"/>
            <w:bottom w:type="dxa" w:w="120"/>
            <w:right w:type="dxa" w:w="6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b/>
              <w:bCs/>
              <w:color w:val="FFFFFF"/>
              <w:sz w:val="26"/>
              <w:szCs w:val="26"/>
            </w:rPr>
            <w:t xml:space="preserve">AT</w:t>
          </w:r>
        </w:p>
      </w:tc>
      <w:tc>
        <w:tcPr>
          <w:tcW w:type="pct" w:w="66%"/>
          <w:tcMar>
            <w:left w:type="dxa" w:w="160"/>
          </w:tcMar>
          <w:vAlign w:val="center"/>
        </w:tcPr>
        <w:p>
          <w:r>
            <w:rPr>
              <w:rFonts w:ascii="Arial" w:cs="Arial" w:eastAsia="Arial" w:hAnsi="Arial"/>
              <w:b/>
              <w:bCs/>
              <w:color w:val="1C2440"/>
              <w:sz w:val="22"/>
              <w:szCs w:val="22"/>
            </w:rPr>
            <w:t xml:space="preserve">APEL test</w:t>
          </w:r>
        </w:p>
        <w:p>
          <w:r>
            <w:rPr>
              <w:rFonts w:ascii="Arial" w:cs="Arial" w:eastAsia="Arial" w:hAnsi="Arial"/>
              <w:color w:val="5A6172"/>
              <w:sz w:val="16"/>
              <w:szCs w:val="16"/>
            </w:rPr>
            <w:t xml:space="preserve">École du Grand Chêne</w:t>
          </w:r>
        </w:p>
      </w:tc>
      <w:tc>
        <w:tcPr>
          <w:tcW w:type="pct" w:w="25%"/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2B4BC7"/>
              <w:sz w:val="15"/>
              <w:szCs w:val="15"/>
            </w:rPr>
            <w:t xml:space="preserve">BALANCE</w:t>
          </w:r>
        </w:p>
      </w:tc>
    </w:tr>
  </w:tbl>
  <w:p>
    <w:pPr>
      <w:pBdr>
        <w:bottom w:val="single" w:color="2B4BC7" w:sz="6"/>
      </w:pBd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B4BC7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2440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</w:pPr>
    <w:rPr>
      <w:rFonts w:ascii="Arial" w:cs="Arial" w:eastAsia="Arial" w:hAnsi="Arial"/>
      <w:b/>
      <w:bCs/>
      <w:color w:val="2B4BC7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180"/>
    </w:pPr>
    <w:rPr>
      <w:rFonts w:ascii="Arial" w:cs="Arial" w:eastAsia="Arial" w:hAnsi="Arial"/>
      <w:b/>
      <w:bCs/>
      <w:color w:val="1C24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Balance — APEL test</dc:title>
  <dc:creator>APEL test</dc:creator>
  <cp:lastModifiedBy>Un-named</cp:lastModifiedBy>
  <cp:revision>1</cp:revision>
  <dcterms:created xsi:type="dcterms:W3CDTF">2026-09-03T01:38:55.886Z</dcterms:created>
  <dcterms:modified xsi:type="dcterms:W3CDTF">2026-09-03T01:38:55.886Z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